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18" w:rsidRPr="002238A5" w:rsidRDefault="00B61E18" w:rsidP="00B61E18">
      <w:pPr>
        <w:jc w:val="center"/>
        <w:rPr>
          <w:b/>
          <w:sz w:val="26"/>
          <w:szCs w:val="26"/>
        </w:rPr>
      </w:pPr>
      <w:r w:rsidRPr="00E768B5">
        <w:rPr>
          <w:b/>
          <w:noProof/>
          <w:sz w:val="26"/>
          <w:szCs w:val="26"/>
        </w:rPr>
        <w:drawing>
          <wp:anchor distT="0" distB="0" distL="114300" distR="114300" simplePos="0" relativeHeight="251660288" behindDoc="1" locked="0" layoutInCell="1" allowOverlap="1" wp14:anchorId="682BDF04" wp14:editId="76178A72">
            <wp:simplePos x="0" y="0"/>
            <wp:positionH relativeFrom="column">
              <wp:posOffset>5644515</wp:posOffset>
            </wp:positionH>
            <wp:positionV relativeFrom="paragraph">
              <wp:posOffset>113665</wp:posOffset>
            </wp:positionV>
            <wp:extent cx="1275080" cy="371475"/>
            <wp:effectExtent l="0" t="0" r="1270" b="952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rinetix.com/assets/images/AgrinetixLogo3.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7508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38A5">
        <w:rPr>
          <w:b/>
          <w:sz w:val="26"/>
          <w:szCs w:val="26"/>
        </w:rPr>
        <w:t>New York On-Farm Research Partnership</w:t>
      </w:r>
      <w:r w:rsidRPr="002238A5">
        <w:rPr>
          <w:b/>
          <w:noProof/>
          <w:sz w:val="26"/>
          <w:szCs w:val="26"/>
        </w:rPr>
        <w:drawing>
          <wp:anchor distT="0" distB="0" distL="114300" distR="114300" simplePos="0" relativeHeight="251659264" behindDoc="1" locked="0" layoutInCell="1" allowOverlap="1" wp14:anchorId="00272A22" wp14:editId="7988116C">
            <wp:simplePos x="0" y="0"/>
            <wp:positionH relativeFrom="column">
              <wp:posOffset>295275</wp:posOffset>
            </wp:positionH>
            <wp:positionV relativeFrom="paragraph">
              <wp:posOffset>19050</wp:posOffset>
            </wp:positionV>
            <wp:extent cx="571500" cy="571500"/>
            <wp:effectExtent l="0" t="0" r="0" b="0"/>
            <wp:wrapNone/>
            <wp:docPr id="6" name="Picture 5" descr="http://nmsp.cals.cornell.edu/images/logos/newlogo_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msp.cals.cornell.edu/images/logos/newlogo_6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p>
    <w:p w:rsidR="00B61E18" w:rsidRPr="002238A5" w:rsidRDefault="00B61E18" w:rsidP="00B61E18">
      <w:pPr>
        <w:jc w:val="center"/>
        <w:rPr>
          <w:b/>
          <w:sz w:val="26"/>
          <w:szCs w:val="26"/>
        </w:rPr>
      </w:pPr>
      <w:r w:rsidRPr="002238A5">
        <w:rPr>
          <w:b/>
          <w:sz w:val="26"/>
          <w:szCs w:val="26"/>
        </w:rPr>
        <w:t>Project: Yield Monitor Evaluation Study 201</w:t>
      </w:r>
      <w:r>
        <w:rPr>
          <w:b/>
          <w:sz w:val="26"/>
          <w:szCs w:val="26"/>
        </w:rPr>
        <w:t>3</w:t>
      </w:r>
    </w:p>
    <w:p w:rsidR="00B61E18" w:rsidRDefault="00B61E18" w:rsidP="00B61E18">
      <w:pPr>
        <w:jc w:val="center"/>
        <w:rPr>
          <w:rFonts w:ascii="Calibri" w:hAnsi="Calibri"/>
          <w:b/>
          <w:sz w:val="28"/>
          <w:szCs w:val="28"/>
        </w:rPr>
      </w:pPr>
      <w:r w:rsidRPr="002238A5">
        <w:rPr>
          <w:b/>
          <w:sz w:val="26"/>
          <w:szCs w:val="26"/>
        </w:rPr>
        <w:t>Protocol and Directions-Alfalf</w:t>
      </w:r>
      <w:r>
        <w:rPr>
          <w:b/>
          <w:sz w:val="26"/>
          <w:szCs w:val="26"/>
        </w:rPr>
        <w:t>a</w:t>
      </w:r>
      <w:r w:rsidR="001916CD">
        <w:rPr>
          <w:rFonts w:ascii="Calibri" w:hAnsi="Calibri"/>
          <w:b/>
          <w:sz w:val="28"/>
          <w:szCs w:val="28"/>
        </w:rPr>
        <w:pict>
          <v:rect id="_x0000_i1025" style="width:0;height:1.5pt" o:hralign="center" o:hrstd="t" o:hr="t" fillcolor="gray" stroked="f"/>
        </w:pict>
      </w:r>
    </w:p>
    <w:p w:rsidR="00B61E18" w:rsidRPr="002238A5" w:rsidRDefault="00B61E18" w:rsidP="00B61E18">
      <w:pPr>
        <w:jc w:val="center"/>
        <w:rPr>
          <w:i/>
          <w:sz w:val="18"/>
          <w:szCs w:val="20"/>
        </w:rPr>
      </w:pPr>
      <w:r w:rsidRPr="002238A5">
        <w:rPr>
          <w:i/>
          <w:sz w:val="18"/>
          <w:szCs w:val="20"/>
        </w:rPr>
        <w:t xml:space="preserve">This project is </w:t>
      </w:r>
      <w:proofErr w:type="gramStart"/>
      <w:r w:rsidRPr="002238A5">
        <w:rPr>
          <w:i/>
          <w:sz w:val="18"/>
          <w:szCs w:val="20"/>
        </w:rPr>
        <w:t>a collaboration</w:t>
      </w:r>
      <w:proofErr w:type="gramEnd"/>
      <w:r w:rsidRPr="002238A5">
        <w:rPr>
          <w:i/>
          <w:sz w:val="18"/>
          <w:szCs w:val="20"/>
        </w:rPr>
        <w:t xml:space="preserve"> between the Cornell Nutrient Management Spear Program and </w:t>
      </w:r>
      <w:proofErr w:type="spellStart"/>
      <w:r w:rsidRPr="002238A5">
        <w:rPr>
          <w:i/>
          <w:sz w:val="18"/>
          <w:szCs w:val="20"/>
        </w:rPr>
        <w:t>Agrinetix</w:t>
      </w:r>
      <w:proofErr w:type="spellEnd"/>
      <w:r w:rsidRPr="002238A5">
        <w:rPr>
          <w:i/>
          <w:sz w:val="18"/>
          <w:szCs w:val="20"/>
        </w:rPr>
        <w:t>.</w:t>
      </w:r>
    </w:p>
    <w:p w:rsidR="00B61E18" w:rsidRPr="002238A5" w:rsidRDefault="00B61E18" w:rsidP="00B61E18">
      <w:pPr>
        <w:jc w:val="center"/>
        <w:rPr>
          <w:i/>
          <w:sz w:val="18"/>
          <w:szCs w:val="20"/>
        </w:rPr>
      </w:pPr>
      <w:proofErr w:type="gramStart"/>
      <w:r w:rsidRPr="002238A5">
        <w:rPr>
          <w:i/>
          <w:sz w:val="18"/>
          <w:szCs w:val="20"/>
        </w:rPr>
        <w:t>Questions?</w:t>
      </w:r>
      <w:proofErr w:type="gramEnd"/>
      <w:r w:rsidRPr="002238A5">
        <w:rPr>
          <w:i/>
          <w:sz w:val="18"/>
          <w:szCs w:val="20"/>
        </w:rPr>
        <w:t xml:space="preserve"> Contact </w:t>
      </w:r>
      <w:proofErr w:type="spellStart"/>
      <w:r w:rsidRPr="002238A5">
        <w:rPr>
          <w:i/>
          <w:sz w:val="18"/>
          <w:szCs w:val="20"/>
        </w:rPr>
        <w:t>Emmaline</w:t>
      </w:r>
      <w:proofErr w:type="spellEnd"/>
      <w:r w:rsidRPr="002238A5">
        <w:rPr>
          <w:i/>
          <w:sz w:val="18"/>
          <w:szCs w:val="20"/>
        </w:rPr>
        <w:t xml:space="preserve"> Long (eal93@cornell.edu) or Dave Russell (drussell@agrinetix.com)</w:t>
      </w:r>
    </w:p>
    <w:p w:rsidR="00B61E18" w:rsidRPr="00FA24F3" w:rsidRDefault="001916CD" w:rsidP="00B61E18">
      <w:pPr>
        <w:jc w:val="center"/>
        <w:rPr>
          <w:i/>
        </w:rPr>
      </w:pPr>
      <w:r>
        <w:rPr>
          <w:rFonts w:ascii="Calibri" w:hAnsi="Calibri"/>
          <w:b/>
          <w:sz w:val="28"/>
          <w:szCs w:val="28"/>
        </w:rPr>
        <w:pict>
          <v:rect id="_x0000_i1026" style="width:0;height:1.5pt" o:hralign="center" o:hrstd="t" o:hr="t" fillcolor="gray" stroked="f"/>
        </w:pict>
      </w:r>
    </w:p>
    <w:p w:rsidR="00B61E18" w:rsidRDefault="00B61E18" w:rsidP="00B61E18">
      <w:pPr>
        <w:rPr>
          <w:rFonts w:ascii="Calibri" w:hAnsi="Calibri"/>
          <w:b/>
          <w:sz w:val="24"/>
          <w:szCs w:val="25"/>
        </w:rPr>
      </w:pPr>
      <w:r>
        <w:rPr>
          <w:rFonts w:ascii="Calibri" w:hAnsi="Calibri"/>
          <w:b/>
          <w:sz w:val="24"/>
          <w:szCs w:val="25"/>
        </w:rPr>
        <w:t>PART II: Moisture Sensor Evaluation</w:t>
      </w:r>
    </w:p>
    <w:p w:rsidR="00B61E18" w:rsidRPr="00B61E18" w:rsidRDefault="00B61E18" w:rsidP="00B61E18">
      <w:pPr>
        <w:rPr>
          <w:rFonts w:ascii="Calibri" w:hAnsi="Calibri"/>
          <w:b/>
          <w:sz w:val="8"/>
          <w:szCs w:val="25"/>
        </w:rPr>
      </w:pPr>
    </w:p>
    <w:p w:rsidR="00B61E18" w:rsidRPr="002238A5" w:rsidRDefault="00B61E18" w:rsidP="00B61E18">
      <w:pPr>
        <w:rPr>
          <w:rFonts w:ascii="Calibri" w:hAnsi="Calibri"/>
          <w:b/>
          <w:sz w:val="24"/>
          <w:szCs w:val="25"/>
        </w:rPr>
      </w:pPr>
      <w:r w:rsidRPr="002238A5">
        <w:rPr>
          <w:rFonts w:ascii="Calibri" w:hAnsi="Calibri"/>
          <w:b/>
          <w:sz w:val="24"/>
          <w:szCs w:val="25"/>
        </w:rPr>
        <w:t>Introduction and Objectives:</w:t>
      </w:r>
    </w:p>
    <w:p w:rsidR="00B61E18" w:rsidRPr="002238A5" w:rsidRDefault="00B61E18" w:rsidP="00B61E18">
      <w:pPr>
        <w:spacing w:after="120"/>
        <w:jc w:val="both"/>
        <w:rPr>
          <w:sz w:val="32"/>
          <w:szCs w:val="28"/>
        </w:rPr>
      </w:pPr>
      <w:r w:rsidRPr="002238A5">
        <w:rPr>
          <w:color w:val="222222"/>
          <w:szCs w:val="18"/>
          <w:shd w:val="clear" w:color="auto" w:fill="FFFFFF"/>
        </w:rPr>
        <w:t>Work over the past five years has shown that great improvements can be made in nutrient use efficiency when detailed farm, feed, and field records are kept. Such progress, monitored using annual Nutrient Mass Balance (NMB) assessments, can be made while maintaining or increasing milk production, illustrating the potential for a win-win situation for farm profitability and environmental protection.</w:t>
      </w:r>
      <w:r w:rsidRPr="002238A5">
        <w:rPr>
          <w:rStyle w:val="apple-converted-space"/>
          <w:color w:val="222222"/>
          <w:szCs w:val="18"/>
          <w:shd w:val="clear" w:color="auto" w:fill="FFFFFF"/>
        </w:rPr>
        <w:t> </w:t>
      </w:r>
      <w:r w:rsidRPr="002238A5">
        <w:rPr>
          <w:rStyle w:val="Emphasis"/>
          <w:b/>
          <w:bCs/>
          <w:color w:val="222222"/>
          <w:szCs w:val="18"/>
          <w:shd w:val="clear" w:color="auto" w:fill="FFFFFF"/>
        </w:rPr>
        <w:t>To achieve the desired nutrient reductions and increased efficiencies accurate farm and field yield records are essential.</w:t>
      </w:r>
      <w:r w:rsidRPr="002238A5">
        <w:rPr>
          <w:rStyle w:val="apple-converted-space"/>
          <w:color w:val="222222"/>
          <w:szCs w:val="18"/>
          <w:shd w:val="clear" w:color="auto" w:fill="FFFFFF"/>
        </w:rPr>
        <w:t> </w:t>
      </w:r>
      <w:r w:rsidRPr="002238A5">
        <w:rPr>
          <w:color w:val="222222"/>
          <w:szCs w:val="18"/>
          <w:shd w:val="clear" w:color="auto" w:fill="FFFFFF"/>
        </w:rPr>
        <w:t>Accurate yield records are</w:t>
      </w:r>
      <w:r w:rsidRPr="002238A5">
        <w:rPr>
          <w:rStyle w:val="apple-converted-space"/>
          <w:color w:val="222222"/>
          <w:szCs w:val="18"/>
          <w:shd w:val="clear" w:color="auto" w:fill="FFFFFF"/>
        </w:rPr>
        <w:t> </w:t>
      </w:r>
      <w:r w:rsidRPr="002238A5">
        <w:rPr>
          <w:rStyle w:val="Emphasis"/>
          <w:color w:val="222222"/>
          <w:szCs w:val="18"/>
          <w:shd w:val="clear" w:color="auto" w:fill="FFFFFF"/>
        </w:rPr>
        <w:t xml:space="preserve">the </w:t>
      </w:r>
      <w:r w:rsidRPr="002238A5">
        <w:rPr>
          <w:color w:val="222222"/>
          <w:szCs w:val="18"/>
          <w:shd w:val="clear" w:color="auto" w:fill="FFFFFF"/>
        </w:rPr>
        <w:t>major bottleneck on many farms for diagnosing causes of high nutrient balances, identifying solutions, designing rotations that feed the cows in a sustainable way, and confidently managing nutrients on a field by field basis. Because home-grown forage and grain production impact all aspects of the farm (economics, nutrient use, environmental footprint, etc.), without accurate yield records, it is nearly impossible to systematically measure progress at the field level, much less identify where the largest nutrient use efficiency gains can be made. Accurate yield records are needed, not just to evaluate the Cornell yield potential database, but also to help farms to quicker achieve nutrient reductions.</w:t>
      </w:r>
    </w:p>
    <w:p w:rsidR="00B61E18" w:rsidRPr="002238A5" w:rsidRDefault="00B61E18" w:rsidP="00B61E18">
      <w:pPr>
        <w:rPr>
          <w:color w:val="222222"/>
          <w:szCs w:val="18"/>
          <w:shd w:val="clear" w:color="auto" w:fill="FFFFFF"/>
        </w:rPr>
      </w:pPr>
      <w:r w:rsidRPr="002238A5">
        <w:rPr>
          <w:color w:val="222222"/>
          <w:szCs w:val="18"/>
          <w:shd w:val="clear" w:color="auto" w:fill="FFFFFF"/>
        </w:rPr>
        <w:t>We are looking to partner with farms with an interest in collecting</w:t>
      </w:r>
      <w:r w:rsidR="005C2C73">
        <w:rPr>
          <w:color w:val="222222"/>
          <w:szCs w:val="18"/>
          <w:shd w:val="clear" w:color="auto" w:fill="FFFFFF"/>
        </w:rPr>
        <w:t xml:space="preserve"> moisture</w:t>
      </w:r>
      <w:r w:rsidRPr="002238A5">
        <w:rPr>
          <w:color w:val="222222"/>
          <w:szCs w:val="18"/>
          <w:shd w:val="clear" w:color="auto" w:fill="FFFFFF"/>
        </w:rPr>
        <w:t xml:space="preserve"> data for forage monitors, and share yield data to generate a statewide database (as part of our Yield Database Project) to evaluate the accuracy of yield monitoring equipment.</w:t>
      </w:r>
    </w:p>
    <w:p w:rsidR="00B61E18" w:rsidRPr="00B61E18" w:rsidRDefault="00B61E18" w:rsidP="00B61E18">
      <w:pPr>
        <w:rPr>
          <w:b/>
          <w:sz w:val="8"/>
        </w:rPr>
      </w:pPr>
    </w:p>
    <w:p w:rsidR="00B61E18" w:rsidRDefault="00B61E18" w:rsidP="00B61E18">
      <w:pPr>
        <w:rPr>
          <w:b/>
          <w:sz w:val="24"/>
          <w:szCs w:val="25"/>
        </w:rPr>
      </w:pPr>
      <w:r w:rsidRPr="002238A5">
        <w:rPr>
          <w:b/>
          <w:sz w:val="24"/>
          <w:szCs w:val="25"/>
        </w:rPr>
        <w:t>Scope of Work:</w:t>
      </w:r>
    </w:p>
    <w:p w:rsidR="005C2C73" w:rsidRPr="005C2C73" w:rsidRDefault="005C2C73" w:rsidP="005C2C73">
      <w:pPr>
        <w:jc w:val="both"/>
        <w:rPr>
          <w:szCs w:val="25"/>
        </w:rPr>
      </w:pPr>
      <w:r w:rsidRPr="005C2C73">
        <w:rPr>
          <w:szCs w:val="25"/>
        </w:rPr>
        <w:t>We are hoping to document the accuracy of the</w:t>
      </w:r>
      <w:r w:rsidR="00B321FB">
        <w:rPr>
          <w:szCs w:val="25"/>
        </w:rPr>
        <w:t xml:space="preserve"> John Deere</w:t>
      </w:r>
      <w:r w:rsidRPr="005C2C73">
        <w:rPr>
          <w:szCs w:val="25"/>
        </w:rPr>
        <w:t xml:space="preserve"> Harvest Lab moisture sensor by comparing moisture values recorded in the field to those calculated in the lab via drying and weighing of plant material. Our goal is to have 10 participating farms per alfalfa cutting and sample a minimum of 25 loads over one day of harvest.</w:t>
      </w:r>
    </w:p>
    <w:p w:rsidR="005C2C73" w:rsidRPr="005C2C73" w:rsidRDefault="005C2C73" w:rsidP="00B61E18">
      <w:pPr>
        <w:rPr>
          <w:szCs w:val="25"/>
        </w:rPr>
      </w:pPr>
      <w:r w:rsidRPr="005C2C73">
        <w:rPr>
          <w:szCs w:val="25"/>
        </w:rPr>
        <w:t>This project has three data collection components: (1) Chopper operator in the field, (2) NMSP representative at the bunk during harvest, and (3) Final data processing at Cornell. The responsibilities for each are listed below:</w:t>
      </w:r>
    </w:p>
    <w:p w:rsidR="005C2C73" w:rsidRDefault="005C2C73" w:rsidP="00B61E18">
      <w:pPr>
        <w:rPr>
          <w:sz w:val="24"/>
          <w:szCs w:val="25"/>
        </w:rPr>
      </w:pPr>
    </w:p>
    <w:p w:rsidR="005C2C73" w:rsidRPr="005C2C73" w:rsidRDefault="005C2C73" w:rsidP="00B61E18">
      <w:pPr>
        <w:rPr>
          <w:sz w:val="24"/>
          <w:szCs w:val="25"/>
        </w:rPr>
      </w:pPr>
      <w:r>
        <w:rPr>
          <w:sz w:val="24"/>
          <w:szCs w:val="25"/>
        </w:rPr>
        <w:t>1. Chopper Operator in the field:</w:t>
      </w:r>
    </w:p>
    <w:p w:rsidR="00B61E18" w:rsidRPr="0065681D" w:rsidRDefault="00B61E18" w:rsidP="00B61E18">
      <w:pPr>
        <w:pStyle w:val="ListParagraph"/>
        <w:numPr>
          <w:ilvl w:val="0"/>
          <w:numId w:val="2"/>
        </w:numPr>
      </w:pPr>
      <w:r w:rsidRPr="0065681D">
        <w:t>Print “Yield Monitor Data Sheet</w:t>
      </w:r>
      <w:r w:rsidR="005C2C73" w:rsidRPr="0065681D">
        <w:t>: Part II</w:t>
      </w:r>
      <w:r w:rsidRPr="0065681D">
        <w:t>” from the NMSP On-Farm Research Project Website:</w:t>
      </w:r>
    </w:p>
    <w:p w:rsidR="00B61E18" w:rsidRPr="0065681D" w:rsidRDefault="001916CD" w:rsidP="00B61E18">
      <w:pPr>
        <w:pStyle w:val="ListParagraph"/>
        <w:numPr>
          <w:ilvl w:val="1"/>
          <w:numId w:val="1"/>
        </w:numPr>
      </w:pPr>
      <w:hyperlink r:id="rId8" w:history="1">
        <w:r w:rsidR="00B61E18" w:rsidRPr="0065681D">
          <w:rPr>
            <w:rStyle w:val="Hyperlink"/>
          </w:rPr>
          <w:t>http://nmsp.cals.cornell.edu/NYOnFarmResearchPartnership/index.html</w:t>
        </w:r>
      </w:hyperlink>
    </w:p>
    <w:p w:rsidR="00B61E18" w:rsidRPr="0065681D" w:rsidRDefault="00B61E18" w:rsidP="00B61E18">
      <w:pPr>
        <w:pStyle w:val="ListParagraph"/>
        <w:numPr>
          <w:ilvl w:val="1"/>
          <w:numId w:val="1"/>
        </w:numPr>
      </w:pPr>
      <w:r w:rsidRPr="0065681D">
        <w:t xml:space="preserve">Sheet has been set up to be 1 page when front-back printed </w:t>
      </w:r>
    </w:p>
    <w:p w:rsidR="00B61E18" w:rsidRPr="0065681D" w:rsidRDefault="00B61E18" w:rsidP="00B61E18">
      <w:pPr>
        <w:pStyle w:val="ListParagraph"/>
        <w:numPr>
          <w:ilvl w:val="0"/>
          <w:numId w:val="1"/>
        </w:numPr>
      </w:pPr>
      <w:r w:rsidRPr="0065681D">
        <w:t>Circle the cutting (1</w:t>
      </w:r>
      <w:r w:rsidRPr="0065681D">
        <w:rPr>
          <w:vertAlign w:val="superscript"/>
        </w:rPr>
        <w:t>st</w:t>
      </w:r>
      <w:r w:rsidRPr="0065681D">
        <w:t>, 2</w:t>
      </w:r>
      <w:r w:rsidRPr="0065681D">
        <w:rPr>
          <w:vertAlign w:val="superscript"/>
        </w:rPr>
        <w:t>nd</w:t>
      </w:r>
      <w:r w:rsidRPr="0065681D">
        <w:t>, 3</w:t>
      </w:r>
      <w:r w:rsidRPr="0065681D">
        <w:rPr>
          <w:vertAlign w:val="superscript"/>
        </w:rPr>
        <w:t>rd</w:t>
      </w:r>
      <w:r w:rsidRPr="0065681D">
        <w:t>, etc.) that the data sheet is being used for</w:t>
      </w:r>
    </w:p>
    <w:p w:rsidR="007E692D" w:rsidRPr="0065681D" w:rsidRDefault="00B61E18" w:rsidP="00B61E18">
      <w:pPr>
        <w:pStyle w:val="ListParagraph"/>
        <w:numPr>
          <w:ilvl w:val="0"/>
          <w:numId w:val="1"/>
        </w:numPr>
      </w:pPr>
      <w:r w:rsidRPr="0065681D">
        <w:t>Fill out Farm Name,</w:t>
      </w:r>
      <w:r w:rsidR="007E692D" w:rsidRPr="0065681D">
        <w:t xml:space="preserve"> the date, and</w:t>
      </w:r>
      <w:r w:rsidRPr="0065681D">
        <w:t xml:space="preserve"> name of person collecting data</w:t>
      </w:r>
    </w:p>
    <w:p w:rsidR="00B61E18" w:rsidRPr="0065681D" w:rsidRDefault="00B61E18" w:rsidP="00B61E18">
      <w:pPr>
        <w:pStyle w:val="ListParagraph"/>
        <w:numPr>
          <w:ilvl w:val="0"/>
          <w:numId w:val="1"/>
        </w:numPr>
      </w:pPr>
      <w:r w:rsidRPr="0065681D">
        <w:t xml:space="preserve">For each </w:t>
      </w:r>
      <w:r w:rsidR="007E692D" w:rsidRPr="0065681D">
        <w:t>truck load filled,</w:t>
      </w:r>
      <w:r w:rsidRPr="0065681D">
        <w:t xml:space="preserve"> indicate:</w:t>
      </w:r>
    </w:p>
    <w:p w:rsidR="007E692D" w:rsidRPr="0065681D" w:rsidRDefault="007E692D" w:rsidP="00B61E18">
      <w:pPr>
        <w:pStyle w:val="ListParagraph"/>
        <w:numPr>
          <w:ilvl w:val="1"/>
          <w:numId w:val="1"/>
        </w:numPr>
      </w:pPr>
      <w:r w:rsidRPr="0065681D">
        <w:t>The load number will start with the first load to be sampled at the bunk and will correspond with the data sheet and labels being kept at the bunk.</w:t>
      </w:r>
    </w:p>
    <w:p w:rsidR="00B61E18" w:rsidRPr="0065681D" w:rsidRDefault="00B61E18" w:rsidP="00B61E18">
      <w:pPr>
        <w:pStyle w:val="ListParagraph"/>
        <w:numPr>
          <w:ilvl w:val="1"/>
          <w:numId w:val="1"/>
        </w:numPr>
      </w:pPr>
      <w:r w:rsidRPr="0065681D">
        <w:t>Field ID: Can be unique farm ID</w:t>
      </w:r>
      <w:r w:rsidR="007E692D" w:rsidRPr="0065681D">
        <w:t xml:space="preserve"> for the field being harvested. This will help correspond back to Apex data if needed</w:t>
      </w:r>
    </w:p>
    <w:p w:rsidR="00B61E18" w:rsidRPr="0065681D" w:rsidRDefault="007E692D" w:rsidP="00B61E18">
      <w:pPr>
        <w:pStyle w:val="ListParagraph"/>
        <w:numPr>
          <w:ilvl w:val="1"/>
          <w:numId w:val="1"/>
        </w:numPr>
      </w:pPr>
      <w:r w:rsidRPr="0065681D">
        <w:t>The time the load is finished being filled. This will help with any confusion if loads are accidently skipped, but are still being collected at the bunk.</w:t>
      </w:r>
    </w:p>
    <w:p w:rsidR="00B61E18" w:rsidRPr="0065681D" w:rsidRDefault="007E692D" w:rsidP="00B61E18">
      <w:pPr>
        <w:pStyle w:val="ListParagraph"/>
        <w:numPr>
          <w:ilvl w:val="1"/>
          <w:numId w:val="1"/>
        </w:numPr>
      </w:pPr>
      <w:r w:rsidRPr="0065681D">
        <w:t>Average moisture of the load. This is the most important value to note, as it is what we will be using to compare the lab calculated values to.</w:t>
      </w:r>
    </w:p>
    <w:p w:rsidR="0065681D" w:rsidRPr="0065681D" w:rsidRDefault="006A1A47" w:rsidP="0065681D">
      <w:pPr>
        <w:pStyle w:val="ListParagraph"/>
        <w:numPr>
          <w:ilvl w:val="0"/>
          <w:numId w:val="1"/>
        </w:numPr>
        <w:rPr>
          <w:b/>
          <w:i/>
          <w:u w:val="single"/>
        </w:rPr>
      </w:pPr>
      <w:r w:rsidRPr="0065681D">
        <w:rPr>
          <w:b/>
        </w:rPr>
        <w:t>During the harvest, if any load accidently get</w:t>
      </w:r>
      <w:r w:rsidR="00924E16">
        <w:rPr>
          <w:b/>
        </w:rPr>
        <w:t>s</w:t>
      </w:r>
      <w:r w:rsidRPr="0065681D">
        <w:rPr>
          <w:b/>
        </w:rPr>
        <w:t xml:space="preserve"> skipped</w:t>
      </w:r>
      <w:r w:rsidR="00924E16">
        <w:rPr>
          <w:b/>
        </w:rPr>
        <w:t xml:space="preserve"> on the recording sheet</w:t>
      </w:r>
      <w:r w:rsidRPr="0065681D">
        <w:rPr>
          <w:b/>
        </w:rPr>
        <w:t xml:space="preserve">, do not continue with </w:t>
      </w:r>
      <w:r w:rsidR="00924E16">
        <w:rPr>
          <w:b/>
        </w:rPr>
        <w:t>the next load on the data sheet;</w:t>
      </w:r>
      <w:r w:rsidRPr="0065681D">
        <w:rPr>
          <w:b/>
        </w:rPr>
        <w:t xml:space="preserve"> put a line through the skipped load so the person at the bunk knows not to keep the samples from that particular load.</w:t>
      </w:r>
    </w:p>
    <w:p w:rsidR="0065681D" w:rsidRPr="0065681D" w:rsidRDefault="0065681D" w:rsidP="0065681D">
      <w:pPr>
        <w:pStyle w:val="ListParagraph"/>
      </w:pPr>
    </w:p>
    <w:p w:rsidR="006A1A47" w:rsidRDefault="006A1A47" w:rsidP="006A1A47">
      <w:pPr>
        <w:rPr>
          <w:sz w:val="24"/>
        </w:rPr>
      </w:pPr>
      <w:r>
        <w:rPr>
          <w:sz w:val="24"/>
        </w:rPr>
        <w:t>2. NMSP Representative at the Bunk:</w:t>
      </w:r>
    </w:p>
    <w:p w:rsidR="006A1A47" w:rsidRPr="0065681D" w:rsidRDefault="006A1A47" w:rsidP="006A1A47">
      <w:pPr>
        <w:pStyle w:val="ListParagraph"/>
        <w:numPr>
          <w:ilvl w:val="0"/>
          <w:numId w:val="3"/>
        </w:numPr>
      </w:pPr>
      <w:r w:rsidRPr="0065681D">
        <w:t xml:space="preserve">For each harvest, someone from the NMSP will spend a day at the bunk to collect samples from a minimum of 25 loads. </w:t>
      </w:r>
    </w:p>
    <w:p w:rsidR="006A1A47" w:rsidRPr="0065681D" w:rsidRDefault="006A1A47" w:rsidP="006A1A47">
      <w:pPr>
        <w:pStyle w:val="ListParagraph"/>
        <w:numPr>
          <w:ilvl w:val="0"/>
          <w:numId w:val="3"/>
        </w:numPr>
      </w:pPr>
      <w:r w:rsidRPr="0065681D">
        <w:lastRenderedPageBreak/>
        <w:t xml:space="preserve">The graduate student in charge of the project, </w:t>
      </w:r>
      <w:proofErr w:type="spellStart"/>
      <w:r w:rsidRPr="0065681D">
        <w:t>Emmaline</w:t>
      </w:r>
      <w:proofErr w:type="spellEnd"/>
      <w:r w:rsidRPr="0065681D">
        <w:t>, will most likely be the person. If more than one farm is harvesting on a given day, a research technician or summer intern will be the person at the bunk.</w:t>
      </w:r>
    </w:p>
    <w:p w:rsidR="006A1A47" w:rsidRPr="0065681D" w:rsidRDefault="006A1A47" w:rsidP="006A1A47">
      <w:pPr>
        <w:pStyle w:val="ListParagraph"/>
        <w:numPr>
          <w:ilvl w:val="0"/>
          <w:numId w:val="3"/>
        </w:numPr>
      </w:pPr>
      <w:r w:rsidRPr="0065681D">
        <w:t>One</w:t>
      </w:r>
      <w:r w:rsidR="0065681D">
        <w:t>-</w:t>
      </w:r>
      <w:r w:rsidRPr="0065681D">
        <w:t xml:space="preserve"> 1 gallon bag will be sampled from each load dumped.</w:t>
      </w:r>
    </w:p>
    <w:p w:rsidR="006A1A47" w:rsidRPr="0065681D" w:rsidRDefault="006A1A47" w:rsidP="006A1A47">
      <w:pPr>
        <w:pStyle w:val="ListParagraph"/>
        <w:numPr>
          <w:ilvl w:val="1"/>
          <w:numId w:val="3"/>
        </w:numPr>
      </w:pPr>
      <w:r w:rsidRPr="0065681D">
        <w:t>Sampling protocol: Take one</w:t>
      </w:r>
      <w:r w:rsidR="009C6621">
        <w:t xml:space="preserve"> large</w:t>
      </w:r>
      <w:r w:rsidRPr="0065681D">
        <w:t xml:space="preserve"> handful at a time walking around the dumped pile</w:t>
      </w:r>
      <w:r w:rsidR="009C6621">
        <w:t>,</w:t>
      </w:r>
      <w:r w:rsidRPr="0065681D">
        <w:t xml:space="preserve"> </w:t>
      </w:r>
      <w:r w:rsidR="001916CD">
        <w:t>for a total of 6 large handfuls</w:t>
      </w:r>
      <w:bookmarkStart w:id="0" w:name="_GoBack"/>
      <w:bookmarkEnd w:id="0"/>
      <w:r w:rsidR="009C6621">
        <w:t>.</w:t>
      </w:r>
    </w:p>
    <w:p w:rsidR="006A1A47" w:rsidRPr="0065681D" w:rsidRDefault="006A1A47" w:rsidP="006A1A47">
      <w:pPr>
        <w:pStyle w:val="ListParagraph"/>
        <w:numPr>
          <w:ilvl w:val="1"/>
          <w:numId w:val="3"/>
        </w:numPr>
      </w:pPr>
      <w:r w:rsidRPr="0065681D">
        <w:t>If more than one</w:t>
      </w:r>
      <w:r w:rsidR="0065681D">
        <w:t xml:space="preserve"> person is available that day, five</w:t>
      </w:r>
      <w:r w:rsidRPr="0065681D">
        <w:t xml:space="preserve">- 1 gallon samples will be taken per load to estimate </w:t>
      </w:r>
      <w:r w:rsidR="0065681D" w:rsidRPr="0065681D">
        <w:t>with-in load variability of moisture</w:t>
      </w:r>
      <w:r w:rsidR="009C6621">
        <w:t>.</w:t>
      </w:r>
    </w:p>
    <w:p w:rsidR="0065681D" w:rsidRDefault="0065681D" w:rsidP="0065681D">
      <w:pPr>
        <w:pStyle w:val="ListParagraph"/>
        <w:numPr>
          <w:ilvl w:val="0"/>
          <w:numId w:val="3"/>
        </w:numPr>
      </w:pPr>
      <w:r>
        <w:t>Bags will be labeled with load number (and sample number if relevant) and placed in a cooler.</w:t>
      </w:r>
    </w:p>
    <w:p w:rsidR="0065681D" w:rsidRDefault="0065681D" w:rsidP="0065681D"/>
    <w:p w:rsidR="0065681D" w:rsidRDefault="0065681D" w:rsidP="0065681D">
      <w:r>
        <w:rPr>
          <w:sz w:val="24"/>
        </w:rPr>
        <w:t>3.</w:t>
      </w:r>
      <w:r>
        <w:t xml:space="preserve"> </w:t>
      </w:r>
      <w:r w:rsidR="00B321FB">
        <w:t>Final processing at Cornell University</w:t>
      </w:r>
    </w:p>
    <w:p w:rsidR="00B321FB" w:rsidRDefault="00B321FB" w:rsidP="00B321FB">
      <w:pPr>
        <w:pStyle w:val="ListParagraph"/>
        <w:numPr>
          <w:ilvl w:val="0"/>
          <w:numId w:val="4"/>
        </w:numPr>
      </w:pPr>
      <w:r>
        <w:t>Upon returning from the farm, plant material from each gallon bag will be weighed and recorded.</w:t>
      </w:r>
    </w:p>
    <w:p w:rsidR="00B321FB" w:rsidRPr="0065681D" w:rsidRDefault="00B321FB" w:rsidP="00B321FB">
      <w:pPr>
        <w:pStyle w:val="ListParagraph"/>
        <w:numPr>
          <w:ilvl w:val="0"/>
          <w:numId w:val="4"/>
        </w:numPr>
      </w:pPr>
      <w:r>
        <w:t xml:space="preserve">Samples </w:t>
      </w:r>
      <w:r w:rsidR="0006417E">
        <w:t xml:space="preserve">will be placed in an </w:t>
      </w:r>
      <w:r>
        <w:t>oven for approximately 3 days, and reweighed to get dry weight and moisture content at harvest.</w:t>
      </w:r>
    </w:p>
    <w:p w:rsidR="006A1A47" w:rsidRDefault="006A1A47" w:rsidP="006A1A47">
      <w:pPr>
        <w:ind w:left="360"/>
      </w:pPr>
    </w:p>
    <w:p w:rsidR="00B61E18" w:rsidRPr="003372C2" w:rsidRDefault="003372C2" w:rsidP="003372C2">
      <w:pPr>
        <w:ind w:left="360"/>
        <w:jc w:val="center"/>
        <w:rPr>
          <w:b/>
        </w:rPr>
      </w:pPr>
      <w:r w:rsidRPr="003372C2">
        <w:rPr>
          <w:b/>
        </w:rPr>
        <w:t>If questions, contact:</w:t>
      </w:r>
    </w:p>
    <w:p w:rsidR="00B61E18" w:rsidRPr="003372C2" w:rsidRDefault="00B61E18" w:rsidP="00B61E18">
      <w:pPr>
        <w:jc w:val="center"/>
        <w:rPr>
          <w:b/>
        </w:rPr>
      </w:pPr>
      <w:proofErr w:type="spellStart"/>
      <w:r w:rsidRPr="003372C2">
        <w:rPr>
          <w:b/>
        </w:rPr>
        <w:t>Emmaline</w:t>
      </w:r>
      <w:proofErr w:type="spellEnd"/>
      <w:r w:rsidRPr="003372C2">
        <w:rPr>
          <w:b/>
        </w:rPr>
        <w:t xml:space="preserve"> Long, </w:t>
      </w:r>
      <w:hyperlink r:id="rId9" w:history="1">
        <w:r w:rsidRPr="003372C2">
          <w:rPr>
            <w:rStyle w:val="Hyperlink"/>
            <w:b/>
          </w:rPr>
          <w:t>eal93@cornell.edu</w:t>
        </w:r>
      </w:hyperlink>
      <w:r w:rsidRPr="003372C2">
        <w:rPr>
          <w:b/>
        </w:rPr>
        <w:t>, 585-813-7228 (cell)</w:t>
      </w:r>
    </w:p>
    <w:p w:rsidR="00B61E18" w:rsidRPr="003372C2" w:rsidRDefault="00B61E18" w:rsidP="00B61E18">
      <w:pPr>
        <w:jc w:val="center"/>
        <w:rPr>
          <w:b/>
        </w:rPr>
      </w:pPr>
      <w:r w:rsidRPr="003372C2">
        <w:rPr>
          <w:b/>
        </w:rPr>
        <w:t>323 Morrison Hall, Ithaca, NY 14853</w:t>
      </w:r>
    </w:p>
    <w:p w:rsidR="00140B79" w:rsidRPr="003372C2" w:rsidRDefault="00140B79">
      <w:pPr>
        <w:rPr>
          <w:b/>
        </w:rPr>
      </w:pPr>
      <w:r w:rsidRPr="003372C2">
        <w:rPr>
          <w:b/>
        </w:rPr>
        <w:br w:type="page"/>
      </w:r>
    </w:p>
    <w:p w:rsidR="00140B79" w:rsidRDefault="00140B79" w:rsidP="00140B79">
      <w:pPr>
        <w:jc w:val="center"/>
        <w:rPr>
          <w:b/>
          <w:sz w:val="24"/>
        </w:rPr>
      </w:pPr>
      <w:r w:rsidRPr="00E768B5">
        <w:rPr>
          <w:b/>
          <w:noProof/>
          <w:sz w:val="26"/>
          <w:szCs w:val="26"/>
        </w:rPr>
        <w:lastRenderedPageBreak/>
        <w:drawing>
          <wp:anchor distT="0" distB="0" distL="114300" distR="114300" simplePos="0" relativeHeight="251663360" behindDoc="1" locked="0" layoutInCell="1" allowOverlap="1" wp14:anchorId="6B0BABBC" wp14:editId="39C831E0">
            <wp:simplePos x="0" y="0"/>
            <wp:positionH relativeFrom="column">
              <wp:posOffset>5859780</wp:posOffset>
            </wp:positionH>
            <wp:positionV relativeFrom="paragraph">
              <wp:posOffset>26670</wp:posOffset>
            </wp:positionV>
            <wp:extent cx="1275080" cy="371475"/>
            <wp:effectExtent l="0" t="0" r="1270" b="9525"/>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rinetix.com/assets/images/AgrinetixLogo3.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7508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BD76FA0" wp14:editId="72E234AC">
            <wp:simplePos x="0" y="0"/>
            <wp:positionH relativeFrom="column">
              <wp:posOffset>142875</wp:posOffset>
            </wp:positionH>
            <wp:positionV relativeFrom="paragraph">
              <wp:posOffset>-133350</wp:posOffset>
            </wp:positionV>
            <wp:extent cx="571500" cy="571500"/>
            <wp:effectExtent l="0" t="0" r="0" b="0"/>
            <wp:wrapNone/>
            <wp:docPr id="3" name="Picture 3" descr="http://nmsp.cals.cornell.edu/images/logos/newlogo_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msp.cals.cornell.edu/images/logos/newlogo_6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Pr="0024777B">
        <w:rPr>
          <w:b/>
          <w:sz w:val="24"/>
        </w:rPr>
        <w:t>Yield Monitor Study 201</w:t>
      </w:r>
      <w:r>
        <w:rPr>
          <w:b/>
          <w:sz w:val="24"/>
        </w:rPr>
        <w:t>3</w:t>
      </w:r>
    </w:p>
    <w:p w:rsidR="00140B79" w:rsidRPr="0024777B" w:rsidRDefault="00140B79" w:rsidP="00140B79">
      <w:pPr>
        <w:jc w:val="center"/>
        <w:rPr>
          <w:b/>
          <w:sz w:val="24"/>
        </w:rPr>
      </w:pPr>
      <w:r w:rsidRPr="0024777B">
        <w:rPr>
          <w:b/>
          <w:sz w:val="24"/>
        </w:rPr>
        <w:t>Data Sheet for Alfalfa Harvest</w:t>
      </w:r>
    </w:p>
    <w:tbl>
      <w:tblPr>
        <w:tblW w:w="8430" w:type="dxa"/>
        <w:tblCellSpacing w:w="0" w:type="dxa"/>
        <w:shd w:val="clear" w:color="auto" w:fill="FFFFFF"/>
        <w:tblCellMar>
          <w:left w:w="0" w:type="dxa"/>
          <w:right w:w="0" w:type="dxa"/>
        </w:tblCellMar>
        <w:tblLook w:val="04A0" w:firstRow="1" w:lastRow="0" w:firstColumn="1" w:lastColumn="0" w:noHBand="0" w:noVBand="1"/>
      </w:tblPr>
      <w:tblGrid>
        <w:gridCol w:w="8404"/>
        <w:gridCol w:w="26"/>
      </w:tblGrid>
      <w:tr w:rsidR="00140B79" w:rsidRPr="00E86994" w:rsidTr="009A4647">
        <w:trPr>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1950"/>
            </w:tblGrid>
            <w:tr w:rsidR="00140B79" w:rsidRPr="00E86994" w:rsidTr="009A4647">
              <w:trPr>
                <w:tblCellSpacing w:w="0" w:type="dxa"/>
              </w:trPr>
              <w:tc>
                <w:tcPr>
                  <w:tcW w:w="1950" w:type="dxa"/>
                  <w:hideMark/>
                </w:tcPr>
                <w:p w:rsidR="00140B79" w:rsidRPr="00E86994" w:rsidRDefault="00140B79" w:rsidP="009A4647">
                  <w:pPr>
                    <w:jc w:val="center"/>
                    <w:rPr>
                      <w:rFonts w:ascii="Times New Roman" w:eastAsia="Times New Roman" w:hAnsi="Times New Roman" w:cs="Times New Roman"/>
                      <w:sz w:val="24"/>
                      <w:szCs w:val="24"/>
                    </w:rPr>
                  </w:pPr>
                </w:p>
              </w:tc>
            </w:tr>
          </w:tbl>
          <w:p w:rsidR="00140B79" w:rsidRPr="00E86994" w:rsidRDefault="00140B79" w:rsidP="009A4647">
            <w:pPr>
              <w:jc w:val="center"/>
              <w:rPr>
                <w:rFonts w:ascii="Arial" w:eastAsia="Times New Roman" w:hAnsi="Arial" w:cs="Arial"/>
                <w:sz w:val="24"/>
                <w:szCs w:val="24"/>
              </w:rPr>
            </w:pPr>
          </w:p>
        </w:tc>
        <w:tc>
          <w:tcPr>
            <w:tcW w:w="0" w:type="auto"/>
            <w:shd w:val="clear" w:color="auto" w:fill="FFFFFF"/>
            <w:hideMark/>
          </w:tcPr>
          <w:p w:rsidR="00140B79" w:rsidRPr="00E86994" w:rsidRDefault="00140B79" w:rsidP="009A4647">
            <w:pPr>
              <w:jc w:val="center"/>
              <w:rPr>
                <w:rFonts w:ascii="Arial" w:eastAsia="Times New Roman" w:hAnsi="Arial" w:cs="Arial"/>
                <w:sz w:val="24"/>
                <w:szCs w:val="24"/>
              </w:rPr>
            </w:pPr>
          </w:p>
        </w:tc>
      </w:tr>
    </w:tbl>
    <w:p w:rsidR="00140B79" w:rsidRPr="00107147" w:rsidRDefault="00140B79" w:rsidP="00140B79">
      <w:pPr>
        <w:jc w:val="center"/>
        <w:rPr>
          <w:b/>
          <w:sz w:val="28"/>
        </w:rPr>
      </w:pPr>
      <w:r>
        <w:rPr>
          <w:b/>
          <w:sz w:val="24"/>
        </w:rPr>
        <w:t xml:space="preserve">Circle Cutting:   </w:t>
      </w:r>
      <w:r>
        <w:rPr>
          <w:b/>
          <w:sz w:val="28"/>
        </w:rPr>
        <w:t>First      Second     Third     Fourth     Fifth</w:t>
      </w:r>
    </w:p>
    <w:p w:rsidR="00140B79" w:rsidRDefault="001916CD" w:rsidP="00140B79">
      <w:pPr>
        <w:jc w:val="center"/>
        <w:rPr>
          <w:rFonts w:ascii="Calibri" w:hAnsi="Calibri"/>
          <w:b/>
          <w:sz w:val="28"/>
          <w:szCs w:val="28"/>
        </w:rPr>
      </w:pPr>
      <w:r>
        <w:rPr>
          <w:rFonts w:ascii="Calibri" w:hAnsi="Calibri"/>
          <w:b/>
          <w:sz w:val="28"/>
          <w:szCs w:val="28"/>
        </w:rPr>
        <w:pict>
          <v:rect id="_x0000_i1027" style="width:0;height:1.5pt" o:hralign="center" o:hrstd="t" o:hr="t" fillcolor="gray" stroked="f"/>
        </w:pict>
      </w:r>
    </w:p>
    <w:p w:rsidR="00140B79" w:rsidRPr="002238A5" w:rsidRDefault="00140B79" w:rsidP="00140B79">
      <w:pPr>
        <w:jc w:val="center"/>
        <w:rPr>
          <w:i/>
          <w:sz w:val="18"/>
          <w:szCs w:val="20"/>
        </w:rPr>
      </w:pPr>
      <w:r w:rsidRPr="002238A5">
        <w:rPr>
          <w:i/>
          <w:sz w:val="18"/>
          <w:szCs w:val="20"/>
        </w:rPr>
        <w:t xml:space="preserve">This project is </w:t>
      </w:r>
      <w:proofErr w:type="gramStart"/>
      <w:r w:rsidRPr="002238A5">
        <w:rPr>
          <w:i/>
          <w:sz w:val="18"/>
          <w:szCs w:val="20"/>
        </w:rPr>
        <w:t>a collaboration</w:t>
      </w:r>
      <w:proofErr w:type="gramEnd"/>
      <w:r w:rsidRPr="002238A5">
        <w:rPr>
          <w:i/>
          <w:sz w:val="18"/>
          <w:szCs w:val="20"/>
        </w:rPr>
        <w:t xml:space="preserve"> between the Cornell Nutrient Management Spear Program and </w:t>
      </w:r>
      <w:proofErr w:type="spellStart"/>
      <w:r w:rsidRPr="002238A5">
        <w:rPr>
          <w:i/>
          <w:sz w:val="18"/>
          <w:szCs w:val="20"/>
        </w:rPr>
        <w:t>Agrinetix</w:t>
      </w:r>
      <w:proofErr w:type="spellEnd"/>
      <w:r w:rsidRPr="002238A5">
        <w:rPr>
          <w:i/>
          <w:sz w:val="18"/>
          <w:szCs w:val="20"/>
        </w:rPr>
        <w:t>.</w:t>
      </w:r>
    </w:p>
    <w:p w:rsidR="00140B79" w:rsidRPr="002238A5" w:rsidRDefault="00140B79" w:rsidP="00140B79">
      <w:pPr>
        <w:jc w:val="center"/>
        <w:rPr>
          <w:i/>
          <w:sz w:val="18"/>
          <w:szCs w:val="20"/>
        </w:rPr>
      </w:pPr>
      <w:proofErr w:type="gramStart"/>
      <w:r w:rsidRPr="002238A5">
        <w:rPr>
          <w:i/>
          <w:sz w:val="18"/>
          <w:szCs w:val="20"/>
        </w:rPr>
        <w:t>Questions?</w:t>
      </w:r>
      <w:proofErr w:type="gramEnd"/>
      <w:r w:rsidRPr="002238A5">
        <w:rPr>
          <w:i/>
          <w:sz w:val="18"/>
          <w:szCs w:val="20"/>
        </w:rPr>
        <w:t xml:space="preserve"> Contact </w:t>
      </w:r>
      <w:proofErr w:type="spellStart"/>
      <w:r w:rsidRPr="002238A5">
        <w:rPr>
          <w:i/>
          <w:sz w:val="18"/>
          <w:szCs w:val="20"/>
        </w:rPr>
        <w:t>Emmaline</w:t>
      </w:r>
      <w:proofErr w:type="spellEnd"/>
      <w:r w:rsidRPr="002238A5">
        <w:rPr>
          <w:i/>
          <w:sz w:val="18"/>
          <w:szCs w:val="20"/>
        </w:rPr>
        <w:t xml:space="preserve"> Long (eal93@cornell.edu) or Dave Russell (drussell@agrinetix.com)</w:t>
      </w:r>
    </w:p>
    <w:p w:rsidR="003327E3" w:rsidRDefault="001916CD" w:rsidP="00140B79">
      <w:pPr>
        <w:rPr>
          <w:rFonts w:ascii="Calibri" w:hAnsi="Calibri"/>
          <w:b/>
          <w:sz w:val="28"/>
          <w:szCs w:val="28"/>
        </w:rPr>
      </w:pPr>
      <w:r>
        <w:rPr>
          <w:rFonts w:ascii="Calibri" w:hAnsi="Calibri"/>
          <w:b/>
          <w:sz w:val="28"/>
          <w:szCs w:val="28"/>
        </w:rPr>
        <w:pict>
          <v:rect id="_x0000_i1028" style="width:0;height:1.5pt" o:hralign="center" o:hrstd="t" o:hr="t" fillcolor="gray" stroked="f"/>
        </w:pict>
      </w:r>
    </w:p>
    <w:p w:rsidR="00475700" w:rsidRDefault="00475700" w:rsidP="00140B79">
      <w:pPr>
        <w:spacing w:after="160"/>
        <w:rPr>
          <w:sz w:val="24"/>
        </w:rPr>
      </w:pPr>
    </w:p>
    <w:p w:rsidR="00140B79" w:rsidRDefault="00140B79" w:rsidP="00140B79">
      <w:pPr>
        <w:spacing w:after="160"/>
        <w:rPr>
          <w:sz w:val="24"/>
        </w:rPr>
      </w:pPr>
      <w:r w:rsidRPr="00EC3290">
        <w:rPr>
          <w:sz w:val="24"/>
        </w:rPr>
        <w:t>Farm Name: _____________</w:t>
      </w:r>
      <w:r>
        <w:rPr>
          <w:sz w:val="24"/>
        </w:rPr>
        <w:t>__________________________</w:t>
      </w:r>
      <w:r w:rsidRPr="00EC3290">
        <w:rPr>
          <w:sz w:val="24"/>
        </w:rPr>
        <w:t xml:space="preserve">       </w:t>
      </w:r>
      <w:r w:rsidR="00475700">
        <w:rPr>
          <w:sz w:val="24"/>
        </w:rPr>
        <w:t>Date: _____________________________________</w:t>
      </w:r>
    </w:p>
    <w:p w:rsidR="00140B79" w:rsidRPr="002C7CAF" w:rsidRDefault="00140B79" w:rsidP="00140B79">
      <w:pPr>
        <w:spacing w:after="160"/>
        <w:rPr>
          <w:sz w:val="24"/>
        </w:rPr>
      </w:pPr>
      <w:r w:rsidRPr="00EC3290">
        <w:rPr>
          <w:sz w:val="24"/>
        </w:rPr>
        <w:t>Person collecting data</w:t>
      </w:r>
      <w:proofErr w:type="gramStart"/>
      <w:r w:rsidRPr="00EE5CCA">
        <w:rPr>
          <w:sz w:val="28"/>
        </w:rPr>
        <w:t>:_</w:t>
      </w:r>
      <w:proofErr w:type="gramEnd"/>
      <w:r w:rsidRPr="00EE5CCA">
        <w:rPr>
          <w:sz w:val="28"/>
        </w:rPr>
        <w:t>____</w:t>
      </w:r>
      <w:r>
        <w:rPr>
          <w:sz w:val="28"/>
        </w:rPr>
        <w:t>_____________________</w:t>
      </w:r>
      <w:r>
        <w:rPr>
          <w:sz w:val="28"/>
        </w:rPr>
        <w:tab/>
      </w:r>
      <w:r w:rsidRPr="002C7CAF">
        <w:rPr>
          <w:sz w:val="24"/>
        </w:rPr>
        <w:t xml:space="preserve">     </w:t>
      </w:r>
    </w:p>
    <w:p w:rsidR="00140B79" w:rsidRPr="00140B79" w:rsidRDefault="00140B79" w:rsidP="00140B79">
      <w:pPr>
        <w:rPr>
          <w:sz w:val="24"/>
        </w:rPr>
      </w:pPr>
      <w:r>
        <w:rPr>
          <w:sz w:val="24"/>
        </w:rPr>
        <w:t>Load Moisture Information</w:t>
      </w:r>
      <w:r w:rsidRPr="00EC3290">
        <w:rPr>
          <w:sz w:val="24"/>
        </w:rPr>
        <w:t>:</w:t>
      </w:r>
    </w:p>
    <w:tbl>
      <w:tblPr>
        <w:tblpPr w:leftFromText="180" w:rightFromText="180" w:vertAnchor="text" w:tblpY="1"/>
        <w:tblOverlap w:val="never"/>
        <w:tblW w:w="113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790"/>
        <w:gridCol w:w="3240"/>
        <w:gridCol w:w="3150"/>
      </w:tblGrid>
      <w:tr w:rsidR="006A1A47" w:rsidRPr="00EC3290" w:rsidTr="006A1A47">
        <w:trPr>
          <w:trHeight w:val="300"/>
        </w:trPr>
        <w:tc>
          <w:tcPr>
            <w:tcW w:w="2175" w:type="dxa"/>
          </w:tcPr>
          <w:p w:rsidR="006A1A47" w:rsidRPr="0036711F" w:rsidRDefault="006A1A47" w:rsidP="007E692D">
            <w:pPr>
              <w:jc w:val="center"/>
              <w:rPr>
                <w:rFonts w:ascii="Calibri" w:eastAsia="Times New Roman" w:hAnsi="Calibri" w:cs="Calibri"/>
                <w:color w:val="000000"/>
                <w:sz w:val="23"/>
                <w:szCs w:val="23"/>
              </w:rPr>
            </w:pPr>
            <w:r>
              <w:rPr>
                <w:rFonts w:ascii="Calibri" w:eastAsia="Times New Roman" w:hAnsi="Calibri" w:cs="Calibri"/>
                <w:color w:val="000000"/>
                <w:sz w:val="23"/>
                <w:szCs w:val="23"/>
              </w:rPr>
              <w:t>Load Number</w:t>
            </w:r>
          </w:p>
        </w:tc>
        <w:tc>
          <w:tcPr>
            <w:tcW w:w="2790" w:type="dxa"/>
            <w:shd w:val="clear" w:color="auto" w:fill="auto"/>
            <w:noWrap/>
            <w:vAlign w:val="bottom"/>
            <w:hideMark/>
          </w:tcPr>
          <w:p w:rsidR="006A1A47" w:rsidRPr="0036711F" w:rsidRDefault="006A1A47" w:rsidP="007E692D">
            <w:pPr>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Field ID</w:t>
            </w:r>
          </w:p>
        </w:tc>
        <w:tc>
          <w:tcPr>
            <w:tcW w:w="3240" w:type="dxa"/>
            <w:shd w:val="clear" w:color="auto" w:fill="auto"/>
            <w:noWrap/>
            <w:vAlign w:val="bottom"/>
            <w:hideMark/>
          </w:tcPr>
          <w:p w:rsidR="006A1A47" w:rsidRPr="0036711F" w:rsidRDefault="006A1A47" w:rsidP="007E692D">
            <w:pPr>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 xml:space="preserve">Time of </w:t>
            </w:r>
            <w:r>
              <w:rPr>
                <w:rFonts w:ascii="Calibri" w:eastAsia="Times New Roman" w:hAnsi="Calibri" w:cs="Calibri"/>
                <w:color w:val="000000"/>
                <w:sz w:val="23"/>
                <w:szCs w:val="23"/>
              </w:rPr>
              <w:t>Load</w:t>
            </w:r>
          </w:p>
        </w:tc>
        <w:tc>
          <w:tcPr>
            <w:tcW w:w="3150" w:type="dxa"/>
            <w:shd w:val="clear" w:color="auto" w:fill="auto"/>
            <w:noWrap/>
            <w:vAlign w:val="bottom"/>
            <w:hideMark/>
          </w:tcPr>
          <w:p w:rsidR="006A1A47" w:rsidRPr="0036711F" w:rsidRDefault="006A1A47" w:rsidP="007E692D">
            <w:pPr>
              <w:ind w:left="-108" w:right="-108"/>
              <w:jc w:val="center"/>
              <w:rPr>
                <w:rFonts w:ascii="Calibri" w:eastAsia="Times New Roman" w:hAnsi="Calibri" w:cs="Calibri"/>
                <w:color w:val="000000"/>
                <w:sz w:val="23"/>
                <w:szCs w:val="23"/>
              </w:rPr>
            </w:pPr>
            <w:r>
              <w:rPr>
                <w:rFonts w:ascii="Calibri" w:eastAsia="Times New Roman" w:hAnsi="Calibri" w:cs="Calibri"/>
                <w:color w:val="000000"/>
                <w:sz w:val="23"/>
                <w:szCs w:val="23"/>
              </w:rPr>
              <w:t>Avg. Moisture of Load</w:t>
            </w:r>
          </w:p>
        </w:tc>
      </w:tr>
      <w:tr w:rsidR="006A1A47" w:rsidRPr="00C072FD" w:rsidTr="006A1A47">
        <w:trPr>
          <w:trHeight w:val="300"/>
        </w:trPr>
        <w:tc>
          <w:tcPr>
            <w:tcW w:w="2175" w:type="dxa"/>
          </w:tcPr>
          <w:p w:rsidR="006A1A47" w:rsidRPr="0036711F" w:rsidRDefault="006A1A47" w:rsidP="007E692D">
            <w:pPr>
              <w:jc w:val="center"/>
              <w:rPr>
                <w:rFonts w:ascii="Calibri" w:eastAsia="Times New Roman" w:hAnsi="Calibri" w:cs="Calibri"/>
                <w:color w:val="000000"/>
                <w:sz w:val="23"/>
                <w:szCs w:val="23"/>
              </w:rPr>
            </w:pPr>
          </w:p>
        </w:tc>
        <w:tc>
          <w:tcPr>
            <w:tcW w:w="2790" w:type="dxa"/>
            <w:shd w:val="clear" w:color="auto" w:fill="auto"/>
            <w:noWrap/>
            <w:vAlign w:val="bottom"/>
            <w:hideMark/>
          </w:tcPr>
          <w:p w:rsidR="006A1A47" w:rsidRPr="0036711F" w:rsidRDefault="006A1A47" w:rsidP="007E692D">
            <w:pPr>
              <w:jc w:val="center"/>
              <w:rPr>
                <w:rFonts w:ascii="Calibri" w:eastAsia="Times New Roman" w:hAnsi="Calibri" w:cs="Calibri"/>
                <w:color w:val="000000"/>
                <w:sz w:val="23"/>
                <w:szCs w:val="23"/>
              </w:rPr>
            </w:pPr>
          </w:p>
        </w:tc>
        <w:tc>
          <w:tcPr>
            <w:tcW w:w="3240" w:type="dxa"/>
            <w:shd w:val="clear" w:color="auto" w:fill="auto"/>
            <w:noWrap/>
            <w:vAlign w:val="bottom"/>
            <w:hideMark/>
          </w:tcPr>
          <w:p w:rsidR="006A1A47" w:rsidRPr="0036711F" w:rsidRDefault="006A1A47" w:rsidP="007E692D">
            <w:pPr>
              <w:jc w:val="center"/>
              <w:rPr>
                <w:rFonts w:ascii="Calibri" w:eastAsia="Times New Roman" w:hAnsi="Calibri" w:cs="Calibri"/>
                <w:color w:val="000000"/>
                <w:sz w:val="23"/>
                <w:szCs w:val="23"/>
              </w:rPr>
            </w:pPr>
          </w:p>
        </w:tc>
        <w:tc>
          <w:tcPr>
            <w:tcW w:w="3150" w:type="dxa"/>
            <w:shd w:val="clear" w:color="auto" w:fill="auto"/>
            <w:noWrap/>
            <w:vAlign w:val="bottom"/>
            <w:hideMark/>
          </w:tcPr>
          <w:p w:rsidR="006A1A47" w:rsidRPr="0036711F" w:rsidRDefault="006A1A47" w:rsidP="007E692D">
            <w:pPr>
              <w:jc w:val="center"/>
              <w:rPr>
                <w:rFonts w:ascii="Calibri" w:eastAsia="Times New Roman" w:hAnsi="Calibri" w:cs="Calibri"/>
                <w:color w:val="000000"/>
                <w:sz w:val="23"/>
                <w:szCs w:val="23"/>
              </w:rPr>
            </w:pPr>
            <w:r>
              <w:rPr>
                <w:rFonts w:ascii="Calibri" w:eastAsia="Times New Roman" w:hAnsi="Calibri" w:cs="Calibri"/>
                <w:color w:val="000000"/>
                <w:sz w:val="23"/>
                <w:szCs w:val="23"/>
              </w:rPr>
              <w:t>%</w:t>
            </w: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w:t>
            </w:r>
          </w:p>
        </w:tc>
        <w:tc>
          <w:tcPr>
            <w:tcW w:w="279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2</w:t>
            </w:r>
          </w:p>
        </w:tc>
        <w:tc>
          <w:tcPr>
            <w:tcW w:w="279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3</w:t>
            </w:r>
          </w:p>
        </w:tc>
        <w:tc>
          <w:tcPr>
            <w:tcW w:w="279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4</w:t>
            </w:r>
          </w:p>
        </w:tc>
        <w:tc>
          <w:tcPr>
            <w:tcW w:w="279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5</w:t>
            </w:r>
          </w:p>
        </w:tc>
        <w:tc>
          <w:tcPr>
            <w:tcW w:w="279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6</w:t>
            </w:r>
          </w:p>
        </w:tc>
        <w:tc>
          <w:tcPr>
            <w:tcW w:w="279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7</w:t>
            </w:r>
          </w:p>
        </w:tc>
        <w:tc>
          <w:tcPr>
            <w:tcW w:w="279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8</w:t>
            </w:r>
          </w:p>
        </w:tc>
        <w:tc>
          <w:tcPr>
            <w:tcW w:w="279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hideMark/>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9</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10</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11</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12</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13</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14</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15</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16</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17</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257"/>
        </w:trPr>
        <w:tc>
          <w:tcPr>
            <w:tcW w:w="2175" w:type="dxa"/>
            <w:vAlign w:val="bottom"/>
          </w:tcPr>
          <w:p w:rsidR="006A1A47" w:rsidRPr="0036711F" w:rsidRDefault="006A1A47" w:rsidP="007E692D">
            <w:pPr>
              <w:jc w:val="center"/>
              <w:rPr>
                <w:rFonts w:ascii="Calibri" w:eastAsia="Times New Roman" w:hAnsi="Calibri" w:cs="Calibri"/>
                <w:color w:val="000000"/>
                <w:sz w:val="23"/>
                <w:szCs w:val="23"/>
              </w:rPr>
            </w:pPr>
            <w:r>
              <w:rPr>
                <w:rFonts w:ascii="Calibri" w:eastAsia="Times New Roman" w:hAnsi="Calibri" w:cs="Calibri"/>
                <w:color w:val="000000"/>
                <w:sz w:val="23"/>
                <w:szCs w:val="23"/>
              </w:rPr>
              <w:lastRenderedPageBreak/>
              <w:t>Load Number</w:t>
            </w:r>
          </w:p>
        </w:tc>
        <w:tc>
          <w:tcPr>
            <w:tcW w:w="2790" w:type="dxa"/>
            <w:shd w:val="clear" w:color="auto" w:fill="auto"/>
            <w:noWrap/>
            <w:vAlign w:val="bottom"/>
          </w:tcPr>
          <w:p w:rsidR="006A1A47" w:rsidRPr="0036711F" w:rsidRDefault="006A1A47" w:rsidP="007E692D">
            <w:pPr>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Field ID</w:t>
            </w:r>
          </w:p>
        </w:tc>
        <w:tc>
          <w:tcPr>
            <w:tcW w:w="3240" w:type="dxa"/>
            <w:shd w:val="clear" w:color="auto" w:fill="auto"/>
            <w:noWrap/>
            <w:vAlign w:val="bottom"/>
          </w:tcPr>
          <w:p w:rsidR="006A1A47" w:rsidRPr="0036711F" w:rsidRDefault="006A1A47" w:rsidP="007E692D">
            <w:pPr>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 xml:space="preserve">Time of </w:t>
            </w:r>
            <w:r>
              <w:rPr>
                <w:rFonts w:ascii="Calibri" w:eastAsia="Times New Roman" w:hAnsi="Calibri" w:cs="Calibri"/>
                <w:color w:val="000000"/>
                <w:sz w:val="23"/>
                <w:szCs w:val="23"/>
              </w:rPr>
              <w:t>Load</w:t>
            </w:r>
          </w:p>
        </w:tc>
        <w:tc>
          <w:tcPr>
            <w:tcW w:w="3150" w:type="dxa"/>
            <w:shd w:val="clear" w:color="auto" w:fill="auto"/>
            <w:noWrap/>
            <w:vAlign w:val="bottom"/>
          </w:tcPr>
          <w:p w:rsidR="006A1A47" w:rsidRPr="0036711F" w:rsidRDefault="006A1A47" w:rsidP="007E692D">
            <w:pPr>
              <w:ind w:left="-108" w:right="-108"/>
              <w:jc w:val="center"/>
              <w:rPr>
                <w:rFonts w:ascii="Calibri" w:eastAsia="Times New Roman" w:hAnsi="Calibri" w:cs="Calibri"/>
                <w:color w:val="000000"/>
                <w:sz w:val="23"/>
                <w:szCs w:val="23"/>
              </w:rPr>
            </w:pPr>
            <w:r>
              <w:rPr>
                <w:rFonts w:ascii="Calibri" w:eastAsia="Times New Roman" w:hAnsi="Calibri" w:cs="Calibri"/>
                <w:color w:val="000000"/>
                <w:sz w:val="23"/>
                <w:szCs w:val="23"/>
              </w:rPr>
              <w:t>Avg. Moisture of Load</w:t>
            </w:r>
          </w:p>
        </w:tc>
      </w:tr>
      <w:tr w:rsidR="006A1A47" w:rsidRPr="00C072FD" w:rsidTr="006A1A47">
        <w:trPr>
          <w:trHeight w:val="248"/>
        </w:trPr>
        <w:tc>
          <w:tcPr>
            <w:tcW w:w="2175" w:type="dxa"/>
            <w:vAlign w:val="bottom"/>
          </w:tcPr>
          <w:p w:rsidR="006A1A47" w:rsidRPr="0036711F" w:rsidRDefault="006A1A47" w:rsidP="006A1A47">
            <w:pPr>
              <w:rPr>
                <w:rFonts w:ascii="Calibri" w:eastAsia="Times New Roman" w:hAnsi="Calibri" w:cs="Calibri"/>
                <w:color w:val="000000"/>
                <w:sz w:val="23"/>
                <w:szCs w:val="23"/>
              </w:rPr>
            </w:pPr>
          </w:p>
        </w:tc>
        <w:tc>
          <w:tcPr>
            <w:tcW w:w="2790" w:type="dxa"/>
            <w:shd w:val="clear" w:color="auto" w:fill="auto"/>
            <w:noWrap/>
            <w:vAlign w:val="bottom"/>
          </w:tcPr>
          <w:p w:rsidR="006A1A47" w:rsidRPr="0036711F" w:rsidRDefault="006A1A47" w:rsidP="006A1A47">
            <w:pPr>
              <w:rPr>
                <w:rFonts w:ascii="Calibri" w:eastAsia="Times New Roman" w:hAnsi="Calibri" w:cs="Calibri"/>
                <w:color w:val="000000"/>
                <w:sz w:val="23"/>
                <w:szCs w:val="23"/>
              </w:rPr>
            </w:pPr>
          </w:p>
        </w:tc>
        <w:tc>
          <w:tcPr>
            <w:tcW w:w="3240" w:type="dxa"/>
            <w:shd w:val="clear" w:color="auto" w:fill="auto"/>
            <w:noWrap/>
            <w:vAlign w:val="bottom"/>
          </w:tcPr>
          <w:p w:rsidR="006A1A47" w:rsidRPr="0036711F" w:rsidRDefault="006A1A47" w:rsidP="006A1A47">
            <w:pPr>
              <w:rPr>
                <w:rFonts w:ascii="Calibri" w:eastAsia="Times New Roman" w:hAnsi="Calibri" w:cs="Calibri"/>
                <w:color w:val="000000"/>
                <w:sz w:val="23"/>
                <w:szCs w:val="23"/>
              </w:rPr>
            </w:pPr>
          </w:p>
        </w:tc>
        <w:tc>
          <w:tcPr>
            <w:tcW w:w="3150" w:type="dxa"/>
            <w:shd w:val="clear" w:color="auto" w:fill="auto"/>
            <w:noWrap/>
            <w:vAlign w:val="bottom"/>
          </w:tcPr>
          <w:p w:rsidR="006A1A47" w:rsidRPr="0036711F" w:rsidRDefault="006A1A47" w:rsidP="006A1A47">
            <w:pPr>
              <w:jc w:val="center"/>
              <w:rPr>
                <w:rFonts w:ascii="Calibri" w:eastAsia="Times New Roman" w:hAnsi="Calibri" w:cs="Calibri"/>
                <w:color w:val="000000"/>
                <w:sz w:val="23"/>
                <w:szCs w:val="23"/>
              </w:rPr>
            </w:pPr>
            <w:r>
              <w:rPr>
                <w:rFonts w:ascii="Calibri" w:eastAsia="Times New Roman" w:hAnsi="Calibri" w:cs="Calibri"/>
                <w:color w:val="000000"/>
                <w:sz w:val="23"/>
                <w:szCs w:val="23"/>
              </w:rPr>
              <w:t>%</w:t>
            </w: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18</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19</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20</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21</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22</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23</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24</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25</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26</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27</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28</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29</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30</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31</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32</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33</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34</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35</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36</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37</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38</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39</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r w:rsidR="006A1A47" w:rsidRPr="00C072FD" w:rsidTr="006A1A47">
        <w:trPr>
          <w:trHeight w:val="576"/>
        </w:trPr>
        <w:tc>
          <w:tcPr>
            <w:tcW w:w="2175" w:type="dxa"/>
            <w:vAlign w:val="bottom"/>
          </w:tcPr>
          <w:p w:rsidR="006A1A47" w:rsidRPr="00C072FD" w:rsidRDefault="006A1A47" w:rsidP="007E692D">
            <w:pPr>
              <w:jc w:val="center"/>
              <w:rPr>
                <w:rFonts w:ascii="Calibri" w:eastAsia="Times New Roman" w:hAnsi="Calibri" w:cs="Calibri"/>
                <w:color w:val="000000"/>
                <w:sz w:val="24"/>
                <w:szCs w:val="24"/>
              </w:rPr>
            </w:pPr>
            <w:r>
              <w:rPr>
                <w:rFonts w:ascii="Calibri" w:eastAsia="Times New Roman" w:hAnsi="Calibri" w:cs="Calibri"/>
                <w:color w:val="000000"/>
                <w:sz w:val="24"/>
                <w:szCs w:val="24"/>
              </w:rPr>
              <w:t>40</w:t>
            </w:r>
          </w:p>
        </w:tc>
        <w:tc>
          <w:tcPr>
            <w:tcW w:w="279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c>
          <w:tcPr>
            <w:tcW w:w="324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3150" w:type="dxa"/>
            <w:shd w:val="clear" w:color="auto" w:fill="auto"/>
            <w:noWrap/>
            <w:vAlign w:val="bottom"/>
          </w:tcPr>
          <w:p w:rsidR="006A1A47" w:rsidRPr="00C072FD" w:rsidRDefault="006A1A47" w:rsidP="007E692D">
            <w:pPr>
              <w:jc w:val="center"/>
              <w:rPr>
                <w:rFonts w:ascii="Calibri" w:eastAsia="Times New Roman" w:hAnsi="Calibri" w:cs="Calibri"/>
                <w:color w:val="000000"/>
                <w:sz w:val="24"/>
                <w:szCs w:val="24"/>
              </w:rPr>
            </w:pPr>
          </w:p>
        </w:tc>
      </w:tr>
    </w:tbl>
    <w:p w:rsidR="00140B79" w:rsidRDefault="00140B79" w:rsidP="006A1A47"/>
    <w:sectPr w:rsidR="00140B79" w:rsidSect="00140B79">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124"/>
    <w:multiLevelType w:val="hybridMultilevel"/>
    <w:tmpl w:val="D806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84857"/>
    <w:multiLevelType w:val="hybridMultilevel"/>
    <w:tmpl w:val="D08A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50053"/>
    <w:multiLevelType w:val="hybridMultilevel"/>
    <w:tmpl w:val="2C54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254A3"/>
    <w:multiLevelType w:val="hybridMultilevel"/>
    <w:tmpl w:val="83ACF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18"/>
    <w:rsid w:val="0006417E"/>
    <w:rsid w:val="00140B79"/>
    <w:rsid w:val="001916CD"/>
    <w:rsid w:val="003372C2"/>
    <w:rsid w:val="00475700"/>
    <w:rsid w:val="005C2C73"/>
    <w:rsid w:val="0065681D"/>
    <w:rsid w:val="006A1A47"/>
    <w:rsid w:val="007E692D"/>
    <w:rsid w:val="00924E16"/>
    <w:rsid w:val="009C6621"/>
    <w:rsid w:val="00B321FB"/>
    <w:rsid w:val="00B61E18"/>
    <w:rsid w:val="00C56239"/>
    <w:rsid w:val="00EF7A82"/>
    <w:rsid w:val="00F8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18"/>
    <w:pPr>
      <w:ind w:left="720"/>
      <w:contextualSpacing/>
    </w:pPr>
  </w:style>
  <w:style w:type="character" w:customStyle="1" w:styleId="apple-converted-space">
    <w:name w:val="apple-converted-space"/>
    <w:basedOn w:val="DefaultParagraphFont"/>
    <w:rsid w:val="00B61E18"/>
  </w:style>
  <w:style w:type="character" w:styleId="Emphasis">
    <w:name w:val="Emphasis"/>
    <w:basedOn w:val="DefaultParagraphFont"/>
    <w:uiPriority w:val="20"/>
    <w:qFormat/>
    <w:rsid w:val="00B61E18"/>
    <w:rPr>
      <w:i/>
      <w:iCs/>
    </w:rPr>
  </w:style>
  <w:style w:type="character" w:styleId="Hyperlink">
    <w:name w:val="Hyperlink"/>
    <w:basedOn w:val="DefaultParagraphFont"/>
    <w:uiPriority w:val="99"/>
    <w:unhideWhenUsed/>
    <w:rsid w:val="00B61E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18"/>
    <w:pPr>
      <w:ind w:left="720"/>
      <w:contextualSpacing/>
    </w:pPr>
  </w:style>
  <w:style w:type="character" w:customStyle="1" w:styleId="apple-converted-space">
    <w:name w:val="apple-converted-space"/>
    <w:basedOn w:val="DefaultParagraphFont"/>
    <w:rsid w:val="00B61E18"/>
  </w:style>
  <w:style w:type="character" w:styleId="Emphasis">
    <w:name w:val="Emphasis"/>
    <w:basedOn w:val="DefaultParagraphFont"/>
    <w:uiPriority w:val="20"/>
    <w:qFormat/>
    <w:rsid w:val="00B61E18"/>
    <w:rPr>
      <w:i/>
      <w:iCs/>
    </w:rPr>
  </w:style>
  <w:style w:type="character" w:styleId="Hyperlink">
    <w:name w:val="Hyperlink"/>
    <w:basedOn w:val="DefaultParagraphFont"/>
    <w:uiPriority w:val="99"/>
    <w:unhideWhenUsed/>
    <w:rsid w:val="00B61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msp.cals.cornell.edu/NYOnFarmResearchPartnership/index.htm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l93@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Emmaline Anne Long</dc:creator>
  <cp:lastModifiedBy>Emmaline Anne Long</cp:lastModifiedBy>
  <cp:revision>6</cp:revision>
  <dcterms:created xsi:type="dcterms:W3CDTF">2013-05-06T18:56:00Z</dcterms:created>
  <dcterms:modified xsi:type="dcterms:W3CDTF">2013-05-18T11:31:00Z</dcterms:modified>
</cp:coreProperties>
</file>